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E" w:rsidRPr="004A7627" w:rsidRDefault="00477B45" w:rsidP="004A7627">
      <w:pPr>
        <w:pStyle w:val="Bezodstpw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b/>
          <w:sz w:val="24"/>
          <w:szCs w:val="24"/>
        </w:rPr>
        <w:t>MEB2D</w:t>
      </w:r>
      <w:r w:rsidR="004A7627" w:rsidRPr="004A7627">
        <w:rPr>
          <w:rFonts w:ascii="Arial" w:hAnsi="Arial" w:cs="Arial"/>
          <w:sz w:val="24"/>
          <w:szCs w:val="24"/>
        </w:rPr>
        <w:t xml:space="preserve"> </w:t>
      </w:r>
      <w:r w:rsidR="009D724E" w:rsidRPr="00885E1B">
        <w:rPr>
          <w:rFonts w:ascii="Arial" w:hAnsi="Arial" w:cs="Arial"/>
          <w:b/>
          <w:sz w:val="24"/>
          <w:szCs w:val="24"/>
        </w:rPr>
        <w:t xml:space="preserve">Miernik </w:t>
      </w:r>
      <w:r w:rsidR="004A7627" w:rsidRPr="00885E1B">
        <w:rPr>
          <w:rFonts w:ascii="Arial" w:hAnsi="Arial" w:cs="Arial"/>
          <w:b/>
          <w:sz w:val="24"/>
          <w:szCs w:val="24"/>
        </w:rPr>
        <w:t>nat</w:t>
      </w:r>
      <w:bookmarkStart w:id="0" w:name="_GoBack"/>
      <w:bookmarkEnd w:id="0"/>
      <w:r w:rsidR="004A7627" w:rsidRPr="00885E1B">
        <w:rPr>
          <w:rFonts w:ascii="Arial" w:hAnsi="Arial" w:cs="Arial"/>
          <w:b/>
          <w:sz w:val="24"/>
          <w:szCs w:val="24"/>
        </w:rPr>
        <w:t>ężenia efektu Barkhausena z wirującym polem magnetycznym</w:t>
      </w:r>
      <w:r w:rsidR="004A7627" w:rsidRPr="004A7627">
        <w:rPr>
          <w:rFonts w:ascii="Arial" w:hAnsi="Arial" w:cs="Arial"/>
          <w:sz w:val="24"/>
          <w:szCs w:val="24"/>
        </w:rPr>
        <w:t xml:space="preserve"> </w:t>
      </w:r>
    </w:p>
    <w:p w:rsidR="004A32AD" w:rsidRDefault="004A32AD" w:rsidP="009D724E">
      <w:pPr>
        <w:jc w:val="center"/>
        <w:rPr>
          <w:rFonts w:ascii="Arial" w:hAnsi="Arial" w:cs="Arial"/>
          <w:sz w:val="24"/>
          <w:szCs w:val="24"/>
        </w:rPr>
      </w:pPr>
    </w:p>
    <w:p w:rsidR="00A70F97" w:rsidRDefault="00A70F97" w:rsidP="00A70F97">
      <w:pPr>
        <w:rPr>
          <w:rFonts w:ascii="Arial" w:hAnsi="Arial" w:cs="Arial"/>
          <w:sz w:val="24"/>
          <w:szCs w:val="24"/>
          <w:u w:val="single"/>
        </w:rPr>
      </w:pPr>
      <w:r w:rsidRPr="00A70F97">
        <w:rPr>
          <w:rFonts w:ascii="Arial" w:hAnsi="Arial" w:cs="Arial"/>
          <w:sz w:val="24"/>
          <w:szCs w:val="24"/>
          <w:u w:val="single"/>
        </w:rPr>
        <w:t>Przeznaczenie urządzenia</w:t>
      </w:r>
    </w:p>
    <w:p w:rsidR="00A70F97" w:rsidRPr="00A70F97" w:rsidRDefault="00A70F97" w:rsidP="00A70F97">
      <w:pPr>
        <w:rPr>
          <w:rFonts w:ascii="Arial" w:hAnsi="Arial" w:cs="Arial"/>
          <w:sz w:val="24"/>
          <w:szCs w:val="24"/>
          <w:u w:val="single"/>
        </w:rPr>
      </w:pPr>
      <w:r w:rsidRPr="004A7627">
        <w:rPr>
          <w:rFonts w:ascii="Arial" w:hAnsi="Arial" w:cs="Arial"/>
          <w:sz w:val="24"/>
          <w:szCs w:val="24"/>
        </w:rPr>
        <w:t xml:space="preserve">Urządzenie przeznaczone </w:t>
      </w:r>
      <w:r>
        <w:rPr>
          <w:rFonts w:ascii="Arial" w:hAnsi="Arial" w:cs="Arial"/>
          <w:sz w:val="24"/>
          <w:szCs w:val="24"/>
        </w:rPr>
        <w:t xml:space="preserve">jest </w:t>
      </w:r>
      <w:r w:rsidRPr="004A762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automatycznego pomiaru rozkładu kątowego </w:t>
      </w:r>
      <w:r w:rsidRPr="004A7627">
        <w:rPr>
          <w:rFonts w:ascii="Arial" w:hAnsi="Arial" w:cs="Arial"/>
          <w:sz w:val="24"/>
          <w:szCs w:val="24"/>
        </w:rPr>
        <w:t>natężenia efektu Barkhausena.</w:t>
      </w:r>
      <w:r>
        <w:rPr>
          <w:rFonts w:ascii="Arial" w:hAnsi="Arial" w:cs="Arial"/>
          <w:sz w:val="24"/>
          <w:szCs w:val="24"/>
        </w:rPr>
        <w:t xml:space="preserve"> Sonda efektu Barkhausena zawiera dwa skrzyżowane elektromagnesy i cewkę detekcyjną z rdzeniem ferrytowym. Wyniki badania wykorzystać można do </w:t>
      </w:r>
      <w:r w:rsidR="00E92BA8">
        <w:rPr>
          <w:rFonts w:ascii="Arial" w:hAnsi="Arial" w:cs="Arial"/>
          <w:sz w:val="24"/>
          <w:szCs w:val="24"/>
        </w:rPr>
        <w:t xml:space="preserve">szybkiej </w:t>
      </w:r>
      <w:r>
        <w:rPr>
          <w:rFonts w:ascii="Arial" w:hAnsi="Arial" w:cs="Arial"/>
          <w:sz w:val="24"/>
          <w:szCs w:val="24"/>
        </w:rPr>
        <w:t xml:space="preserve">oceny anizotropii właściwości magnetycznych oraz kierunków głównych i poziomu naprężeń własnych.  </w:t>
      </w:r>
    </w:p>
    <w:p w:rsidR="004A7627" w:rsidRDefault="004A7627" w:rsidP="004A7627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4A7627">
        <w:rPr>
          <w:rFonts w:ascii="Arial" w:hAnsi="Arial" w:cs="Arial"/>
          <w:sz w:val="24"/>
          <w:szCs w:val="24"/>
          <w:u w:val="single"/>
        </w:rPr>
        <w:t>Właściwości</w:t>
      </w:r>
    </w:p>
    <w:p w:rsidR="00A70F97" w:rsidRDefault="00A70F97" w:rsidP="004A7627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:rsidR="009D724E" w:rsidRPr="004A7627" w:rsidRDefault="00A70F97" w:rsidP="004A7627">
      <w:pPr>
        <w:pStyle w:val="Bezodstpw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Układ centralny urządzenia </w:t>
      </w:r>
      <w:proofErr w:type="gramStart"/>
      <w:r>
        <w:rPr>
          <w:rFonts w:ascii="Arial" w:hAnsi="Arial" w:cs="Arial"/>
          <w:sz w:val="24"/>
          <w:szCs w:val="24"/>
        </w:rPr>
        <w:t xml:space="preserve">przeprowadza  </w:t>
      </w:r>
      <w:r w:rsidR="009D724E" w:rsidRPr="004A7627">
        <w:rPr>
          <w:rFonts w:ascii="Arial" w:hAnsi="Arial" w:cs="Arial"/>
          <w:sz w:val="24"/>
          <w:szCs w:val="24"/>
        </w:rPr>
        <w:t>zaawansowaną</w:t>
      </w:r>
      <w:proofErr w:type="gramEnd"/>
      <w:r w:rsidR="009D724E" w:rsidRPr="004A76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wszechstronną </w:t>
      </w:r>
      <w:r w:rsidR="009D724E" w:rsidRPr="004A7627">
        <w:rPr>
          <w:rFonts w:ascii="Arial" w:hAnsi="Arial" w:cs="Arial"/>
          <w:sz w:val="24"/>
          <w:szCs w:val="24"/>
        </w:rPr>
        <w:t>analizę</w:t>
      </w:r>
      <w:r>
        <w:rPr>
          <w:rFonts w:ascii="Arial" w:hAnsi="Arial" w:cs="Arial"/>
          <w:sz w:val="24"/>
          <w:szCs w:val="24"/>
        </w:rPr>
        <w:t xml:space="preserve"> impulsów napięciowych </w:t>
      </w:r>
      <w:r w:rsidR="009D724E" w:rsidRPr="004A7627">
        <w:rPr>
          <w:rFonts w:ascii="Arial" w:hAnsi="Arial" w:cs="Arial"/>
          <w:sz w:val="24"/>
          <w:szCs w:val="24"/>
        </w:rPr>
        <w:t xml:space="preserve"> efektu Barkhausena.</w:t>
      </w:r>
    </w:p>
    <w:p w:rsidR="00796F36" w:rsidRPr="004A7627" w:rsidRDefault="00796F36" w:rsidP="00796F36">
      <w:pPr>
        <w:pStyle w:val="Bezodstpw"/>
        <w:rPr>
          <w:rFonts w:ascii="Arial" w:hAnsi="Arial" w:cs="Arial"/>
          <w:sz w:val="24"/>
          <w:szCs w:val="24"/>
        </w:rPr>
      </w:pPr>
    </w:p>
    <w:p w:rsidR="00A70F97" w:rsidRDefault="009D724E" w:rsidP="008219AC">
      <w:p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i/>
          <w:sz w:val="24"/>
          <w:szCs w:val="24"/>
        </w:rPr>
        <w:t>Cechy urządzenia</w:t>
      </w:r>
      <w:r w:rsidRPr="004A7627">
        <w:rPr>
          <w:rFonts w:ascii="Arial" w:hAnsi="Arial" w:cs="Arial"/>
          <w:sz w:val="24"/>
          <w:szCs w:val="24"/>
        </w:rPr>
        <w:t>:</w:t>
      </w:r>
      <w:r w:rsidR="00A70F97">
        <w:rPr>
          <w:rFonts w:ascii="Arial" w:hAnsi="Arial" w:cs="Arial"/>
          <w:sz w:val="24"/>
          <w:szCs w:val="24"/>
        </w:rPr>
        <w:t xml:space="preserve">  </w:t>
      </w:r>
    </w:p>
    <w:p w:rsidR="009D724E" w:rsidRPr="00A70F97" w:rsidRDefault="008219AC" w:rsidP="008219A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D724E" w:rsidRPr="00A70F97">
        <w:rPr>
          <w:rFonts w:ascii="Arial" w:hAnsi="Arial" w:cs="Arial"/>
          <w:sz w:val="24"/>
          <w:szCs w:val="24"/>
        </w:rPr>
        <w:t xml:space="preserve">nnowacyjna sonda efektu Barkhausena </w:t>
      </w:r>
      <w:r w:rsidR="00A70F97" w:rsidRPr="00A70F97">
        <w:rPr>
          <w:rFonts w:ascii="Arial" w:hAnsi="Arial" w:cs="Arial"/>
          <w:sz w:val="24"/>
          <w:szCs w:val="24"/>
        </w:rPr>
        <w:t>generująca</w:t>
      </w:r>
      <w:r w:rsidR="009D724E" w:rsidRPr="00A70F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0F97" w:rsidRPr="00A70F97">
        <w:rPr>
          <w:rFonts w:ascii="Arial" w:hAnsi="Arial" w:cs="Arial"/>
          <w:sz w:val="24"/>
          <w:szCs w:val="24"/>
        </w:rPr>
        <w:t xml:space="preserve">wirujące </w:t>
      </w:r>
      <w:r w:rsidR="009D724E" w:rsidRPr="00A70F97">
        <w:rPr>
          <w:rFonts w:ascii="Arial" w:hAnsi="Arial" w:cs="Arial"/>
          <w:sz w:val="24"/>
          <w:szCs w:val="24"/>
        </w:rPr>
        <w:t xml:space="preserve"> pole</w:t>
      </w:r>
      <w:proofErr w:type="gramEnd"/>
      <w:r w:rsidR="009D724E" w:rsidRPr="00A70F97">
        <w:rPr>
          <w:rFonts w:ascii="Arial" w:hAnsi="Arial" w:cs="Arial"/>
          <w:sz w:val="24"/>
          <w:szCs w:val="24"/>
        </w:rPr>
        <w:t xml:space="preserve"> magnetyczne.</w:t>
      </w:r>
    </w:p>
    <w:p w:rsidR="009D724E" w:rsidRPr="004A7627" w:rsidRDefault="009D724E" w:rsidP="008219A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W pełni funkcjonale oprogramowanie sterujące oraz rejestrujące wynik</w:t>
      </w:r>
      <w:r w:rsidR="00A70F97">
        <w:rPr>
          <w:rFonts w:ascii="Arial" w:hAnsi="Arial" w:cs="Arial"/>
          <w:sz w:val="24"/>
          <w:szCs w:val="24"/>
        </w:rPr>
        <w:t>i</w:t>
      </w:r>
      <w:r w:rsidRPr="004A7627">
        <w:rPr>
          <w:rFonts w:ascii="Arial" w:hAnsi="Arial" w:cs="Arial"/>
          <w:sz w:val="24"/>
          <w:szCs w:val="24"/>
        </w:rPr>
        <w:t xml:space="preserve"> pomiar</w:t>
      </w:r>
      <w:r w:rsidR="00A70F97">
        <w:rPr>
          <w:rFonts w:ascii="Arial" w:hAnsi="Arial" w:cs="Arial"/>
          <w:sz w:val="24"/>
          <w:szCs w:val="24"/>
        </w:rPr>
        <w:t>u (w</w:t>
      </w:r>
      <w:r w:rsidRPr="004A7627">
        <w:rPr>
          <w:rFonts w:ascii="Arial" w:hAnsi="Arial" w:cs="Arial"/>
          <w:sz w:val="24"/>
          <w:szCs w:val="24"/>
        </w:rPr>
        <w:t>raz z wersją instalacyjną</w:t>
      </w:r>
      <w:r w:rsidR="00A70F97">
        <w:rPr>
          <w:rFonts w:ascii="Arial" w:hAnsi="Arial" w:cs="Arial"/>
          <w:sz w:val="24"/>
          <w:szCs w:val="24"/>
        </w:rPr>
        <w:t>)</w:t>
      </w:r>
      <w:r w:rsidRPr="004A7627">
        <w:rPr>
          <w:rFonts w:ascii="Arial" w:hAnsi="Arial" w:cs="Arial"/>
          <w:sz w:val="24"/>
          <w:szCs w:val="24"/>
        </w:rPr>
        <w:t>.</w:t>
      </w:r>
    </w:p>
    <w:p w:rsidR="00E371E5" w:rsidRPr="004A7627" w:rsidRDefault="00E371E5" w:rsidP="008219A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Zintegrowane z programem sterujący</w:t>
      </w:r>
      <w:r w:rsidR="008801FC" w:rsidRPr="004A7627">
        <w:rPr>
          <w:rFonts w:ascii="Arial" w:hAnsi="Arial" w:cs="Arial"/>
          <w:sz w:val="24"/>
          <w:szCs w:val="24"/>
        </w:rPr>
        <w:t>m moduły</w:t>
      </w:r>
      <w:r w:rsidRPr="004A7627">
        <w:rPr>
          <w:rFonts w:ascii="Arial" w:hAnsi="Arial" w:cs="Arial"/>
          <w:sz w:val="24"/>
          <w:szCs w:val="24"/>
        </w:rPr>
        <w:t xml:space="preserve"> programowej</w:t>
      </w:r>
      <w:r w:rsidR="008801FC" w:rsidRPr="004A7627">
        <w:rPr>
          <w:rFonts w:ascii="Arial" w:hAnsi="Arial" w:cs="Arial"/>
          <w:sz w:val="24"/>
          <w:szCs w:val="24"/>
        </w:rPr>
        <w:t>,</w:t>
      </w:r>
      <w:r w:rsidRPr="004A7627">
        <w:rPr>
          <w:rFonts w:ascii="Arial" w:hAnsi="Arial" w:cs="Arial"/>
          <w:sz w:val="24"/>
          <w:szCs w:val="24"/>
        </w:rPr>
        <w:t xml:space="preserve"> zaawansowanej analizy danych pomiarowych.</w:t>
      </w:r>
    </w:p>
    <w:p w:rsidR="009D724E" w:rsidRPr="004A7627" w:rsidRDefault="009D724E" w:rsidP="008219A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Zasilanie sieciowe poprzez wysokowydajny zewnętrzny zasilacz impulsowy.</w:t>
      </w:r>
    </w:p>
    <w:p w:rsidR="009D724E" w:rsidRPr="004A7627" w:rsidRDefault="009D724E" w:rsidP="008219A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Komputer sterujący w zestawie.</w:t>
      </w:r>
    </w:p>
    <w:p w:rsidR="009D724E" w:rsidRPr="004A7627" w:rsidRDefault="009D724E" w:rsidP="008219A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Skrzynia transportowa.</w:t>
      </w:r>
    </w:p>
    <w:p w:rsidR="009D724E" w:rsidRPr="004A7627" w:rsidRDefault="009D724E" w:rsidP="008219A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A7627">
        <w:rPr>
          <w:rFonts w:ascii="Arial" w:hAnsi="Arial" w:cs="Arial"/>
          <w:i/>
          <w:sz w:val="24"/>
          <w:szCs w:val="24"/>
        </w:rPr>
        <w:t>Parametry urządzenia</w:t>
      </w:r>
      <w:r w:rsidR="00A70F97">
        <w:rPr>
          <w:rFonts w:ascii="Arial" w:hAnsi="Arial" w:cs="Arial"/>
          <w:i/>
          <w:sz w:val="24"/>
          <w:szCs w:val="24"/>
        </w:rPr>
        <w:t>:</w:t>
      </w:r>
    </w:p>
    <w:p w:rsidR="009D724E" w:rsidRPr="004A7627" w:rsidRDefault="00E371E5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Pełna regulacja charakteru oraz zakresu generowanych sygnałów napięciowych</w:t>
      </w:r>
      <w:r w:rsidR="008801FC" w:rsidRPr="004A7627">
        <w:rPr>
          <w:rFonts w:ascii="Arial" w:hAnsi="Arial" w:cs="Arial"/>
          <w:sz w:val="24"/>
          <w:szCs w:val="24"/>
        </w:rPr>
        <w:t>,</w:t>
      </w:r>
      <w:r w:rsidR="007C0557" w:rsidRPr="004A7627">
        <w:rPr>
          <w:rFonts w:ascii="Arial" w:hAnsi="Arial" w:cs="Arial"/>
          <w:sz w:val="24"/>
          <w:szCs w:val="24"/>
        </w:rPr>
        <w:t xml:space="preserve"> sterujących</w:t>
      </w:r>
      <w:r w:rsidRPr="004A7627">
        <w:rPr>
          <w:rFonts w:ascii="Arial" w:hAnsi="Arial" w:cs="Arial"/>
          <w:sz w:val="24"/>
          <w:szCs w:val="24"/>
        </w:rPr>
        <w:t xml:space="preserve"> wzmacniaczami prądowymi niezależnych układów magnesujących.</w:t>
      </w:r>
    </w:p>
    <w:p w:rsidR="00E371E5" w:rsidRPr="004A7627" w:rsidRDefault="00E371E5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Możliwość wykorzystania standardowych oraz arbitralnych przebiegów napięcia sterującego układami magnesującymi.</w:t>
      </w:r>
    </w:p>
    <w:p w:rsidR="007C0557" w:rsidRPr="004A7627" w:rsidRDefault="007C0557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 xml:space="preserve">Dowolny zakres częstości i nachyleń przebiegów sterujących, ze względu na wykorzystanie ferromagnetycznych obwodów magnetycznych, </w:t>
      </w:r>
      <w:r w:rsidR="008801FC" w:rsidRPr="004A7627">
        <w:rPr>
          <w:rFonts w:ascii="Arial" w:hAnsi="Arial" w:cs="Arial"/>
          <w:sz w:val="24"/>
          <w:szCs w:val="24"/>
        </w:rPr>
        <w:t>softwarowo</w:t>
      </w:r>
      <w:r w:rsidRPr="004A7627">
        <w:rPr>
          <w:rFonts w:ascii="Arial" w:hAnsi="Arial" w:cs="Arial"/>
          <w:sz w:val="24"/>
          <w:szCs w:val="24"/>
        </w:rPr>
        <w:t xml:space="preserve"> ograniczony do 100Hz.</w:t>
      </w:r>
    </w:p>
    <w:p w:rsidR="00E371E5" w:rsidRPr="004A7627" w:rsidRDefault="00E371E5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 xml:space="preserve">Potrójny generator cyfrowo-analogowy o częstotliwości przetwarzania danych na poziomie </w:t>
      </w:r>
      <w:r w:rsidR="00DE6C32" w:rsidRPr="004A7627">
        <w:rPr>
          <w:rFonts w:ascii="Arial" w:hAnsi="Arial" w:cs="Arial"/>
          <w:sz w:val="24"/>
          <w:szCs w:val="24"/>
        </w:rPr>
        <w:t>1,54</w:t>
      </w:r>
      <w:r w:rsidR="005D04CA" w:rsidRPr="004A7627">
        <w:rPr>
          <w:rFonts w:ascii="Arial" w:hAnsi="Arial" w:cs="Arial"/>
          <w:sz w:val="24"/>
          <w:szCs w:val="24"/>
        </w:rPr>
        <w:t xml:space="preserve"> MHz.</w:t>
      </w:r>
    </w:p>
    <w:p w:rsidR="005D04CA" w:rsidRPr="004A7627" w:rsidRDefault="007C0557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Pełna regulacja wzmocnienia analogowego toru pomiarowego.</w:t>
      </w:r>
    </w:p>
    <w:p w:rsidR="007C0557" w:rsidRPr="004A7627" w:rsidRDefault="007C0557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 xml:space="preserve">Przetwarzanie analogowo cyfrowe </w:t>
      </w:r>
      <w:r w:rsidR="008801FC" w:rsidRPr="004A7627">
        <w:rPr>
          <w:rFonts w:ascii="Arial" w:hAnsi="Arial" w:cs="Arial"/>
          <w:sz w:val="24"/>
          <w:szCs w:val="24"/>
        </w:rPr>
        <w:t>sygnałów</w:t>
      </w:r>
      <w:r w:rsidRPr="004A7627">
        <w:rPr>
          <w:rFonts w:ascii="Arial" w:hAnsi="Arial" w:cs="Arial"/>
          <w:sz w:val="24"/>
          <w:szCs w:val="24"/>
        </w:rPr>
        <w:t xml:space="preserve"> pomiarowych z rozdzielczością 16 bitów i maksymalną</w:t>
      </w:r>
      <w:r w:rsidR="008801FC" w:rsidRPr="004A7627">
        <w:rPr>
          <w:rFonts w:ascii="Arial" w:hAnsi="Arial" w:cs="Arial"/>
          <w:sz w:val="24"/>
          <w:szCs w:val="24"/>
        </w:rPr>
        <w:t xml:space="preserve"> częstotliwością konwersji równą</w:t>
      </w:r>
      <w:r w:rsidRPr="004A7627">
        <w:rPr>
          <w:rFonts w:ascii="Arial" w:hAnsi="Arial" w:cs="Arial"/>
          <w:sz w:val="24"/>
          <w:szCs w:val="24"/>
        </w:rPr>
        <w:t xml:space="preserve"> 1MHz.</w:t>
      </w:r>
    </w:p>
    <w:p w:rsidR="007C0557" w:rsidRPr="004A7627" w:rsidRDefault="007C0557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Zakres częstotliwości rejestrowanego sygnału napięciowego szumu Barkhausena od 500Hz do 500kHz.</w:t>
      </w:r>
    </w:p>
    <w:p w:rsidR="007C0557" w:rsidRPr="004A7627" w:rsidRDefault="007C0557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 xml:space="preserve">Cyfrowe filtrowanie </w:t>
      </w:r>
      <w:r w:rsidR="008801FC" w:rsidRPr="004A7627">
        <w:rPr>
          <w:rFonts w:ascii="Arial" w:hAnsi="Arial" w:cs="Arial"/>
          <w:sz w:val="24"/>
          <w:szCs w:val="24"/>
        </w:rPr>
        <w:t xml:space="preserve">rejestrowanego </w:t>
      </w:r>
      <w:r w:rsidRPr="004A7627">
        <w:rPr>
          <w:rFonts w:ascii="Arial" w:hAnsi="Arial" w:cs="Arial"/>
          <w:sz w:val="24"/>
          <w:szCs w:val="24"/>
        </w:rPr>
        <w:t>sygnału oparte o analizę fourierowską.</w:t>
      </w:r>
    </w:p>
    <w:p w:rsidR="007C0557" w:rsidRPr="004A7627" w:rsidRDefault="007C0557" w:rsidP="008219A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 xml:space="preserve">Wieloparametrowa analiza sygnałów napięciowych (RMS, P-P, </w:t>
      </w:r>
      <w:proofErr w:type="spellStart"/>
      <w:r w:rsidRPr="004A7627">
        <w:rPr>
          <w:rFonts w:ascii="Arial" w:hAnsi="Arial" w:cs="Arial"/>
          <w:sz w:val="24"/>
          <w:szCs w:val="24"/>
        </w:rPr>
        <w:t>Integral</w:t>
      </w:r>
      <w:proofErr w:type="spellEnd"/>
      <w:r w:rsidRPr="004A7627">
        <w:rPr>
          <w:rFonts w:ascii="Arial" w:hAnsi="Arial" w:cs="Arial"/>
          <w:sz w:val="24"/>
          <w:szCs w:val="24"/>
        </w:rPr>
        <w:t xml:space="preserve">), rejestracja i kontrola strumienia indukcji pola magnetycznego w obwodach magnesujących. </w:t>
      </w:r>
    </w:p>
    <w:p w:rsidR="00BC4609" w:rsidRDefault="00BC4609" w:rsidP="00BC4609">
      <w:pPr>
        <w:pStyle w:val="Akapitzlist"/>
        <w:rPr>
          <w:rFonts w:ascii="Arial" w:hAnsi="Arial" w:cs="Arial"/>
          <w:sz w:val="24"/>
          <w:szCs w:val="24"/>
        </w:rPr>
      </w:pPr>
    </w:p>
    <w:p w:rsidR="004A7627" w:rsidRDefault="004A7627" w:rsidP="004A7627">
      <w:pPr>
        <w:pStyle w:val="Akapitzlist"/>
        <w:ind w:left="142"/>
        <w:rPr>
          <w:rFonts w:ascii="Arial" w:hAnsi="Arial" w:cs="Arial"/>
          <w:sz w:val="24"/>
          <w:szCs w:val="24"/>
        </w:rPr>
      </w:pPr>
      <w:proofErr w:type="gramStart"/>
      <w:r w:rsidRPr="004A7627">
        <w:rPr>
          <w:rFonts w:ascii="Arial" w:hAnsi="Arial" w:cs="Arial"/>
          <w:sz w:val="24"/>
          <w:szCs w:val="24"/>
          <w:u w:val="single"/>
        </w:rPr>
        <w:t>Składniki  urządzenia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A7627" w:rsidRDefault="004A7627" w:rsidP="004A7627">
      <w:pPr>
        <w:pStyle w:val="Akapitzlist"/>
        <w:numPr>
          <w:ilvl w:val="0"/>
          <w:numId w:val="4"/>
        </w:numPr>
        <w:ind w:hanging="76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</w:rPr>
        <w:t>Jednostka centralna</w:t>
      </w:r>
    </w:p>
    <w:p w:rsidR="004A7627" w:rsidRDefault="004A7627" w:rsidP="004A7627">
      <w:pPr>
        <w:pStyle w:val="Akapitzlist"/>
        <w:numPr>
          <w:ilvl w:val="0"/>
          <w:numId w:val="4"/>
        </w:numPr>
        <w:ind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Sonda </w:t>
      </w:r>
    </w:p>
    <w:p w:rsidR="004A7627" w:rsidRDefault="004A7627" w:rsidP="004A7627">
      <w:pPr>
        <w:pStyle w:val="Akapitzlist"/>
        <w:numPr>
          <w:ilvl w:val="0"/>
          <w:numId w:val="4"/>
        </w:numPr>
        <w:ind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</w:t>
      </w:r>
    </w:p>
    <w:p w:rsidR="004A7627" w:rsidRDefault="004A7627" w:rsidP="004A7627">
      <w:pPr>
        <w:pStyle w:val="Akapitzlist"/>
        <w:numPr>
          <w:ilvl w:val="0"/>
          <w:numId w:val="4"/>
        </w:numPr>
        <w:ind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Waliza</w:t>
      </w:r>
    </w:p>
    <w:p w:rsidR="00BC4609" w:rsidRPr="004A7627" w:rsidRDefault="004A7627" w:rsidP="004A7627">
      <w:pPr>
        <w:ind w:left="142"/>
        <w:rPr>
          <w:rFonts w:ascii="Arial" w:hAnsi="Arial" w:cs="Arial"/>
          <w:sz w:val="24"/>
          <w:szCs w:val="24"/>
        </w:rPr>
      </w:pPr>
      <w:r w:rsidRPr="004A7627">
        <w:rPr>
          <w:rFonts w:ascii="Arial" w:hAnsi="Arial" w:cs="Arial"/>
          <w:sz w:val="24"/>
          <w:szCs w:val="24"/>
          <w:u w:val="single"/>
        </w:rPr>
        <w:t>Gwarancja</w:t>
      </w:r>
      <w:r w:rsidRPr="004A7627">
        <w:rPr>
          <w:rFonts w:ascii="Arial" w:hAnsi="Arial" w:cs="Arial"/>
          <w:sz w:val="24"/>
          <w:szCs w:val="24"/>
        </w:rPr>
        <w:t>: 12 miesięcy</w:t>
      </w:r>
    </w:p>
    <w:p w:rsidR="00BC4609" w:rsidRPr="00796F36" w:rsidRDefault="00BC4609" w:rsidP="00BC4609">
      <w:pPr>
        <w:pStyle w:val="Akapitzlist"/>
        <w:ind w:left="4968" w:firstLine="696"/>
        <w:rPr>
          <w:rFonts w:ascii="Times New Roman" w:hAnsi="Times New Roman" w:cs="Times New Roman"/>
        </w:rPr>
      </w:pPr>
    </w:p>
    <w:sectPr w:rsidR="00BC4609" w:rsidRPr="00796F36" w:rsidSect="004A7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9F7"/>
    <w:multiLevelType w:val="hybridMultilevel"/>
    <w:tmpl w:val="01C2C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6E12"/>
    <w:multiLevelType w:val="hybridMultilevel"/>
    <w:tmpl w:val="310A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471F"/>
    <w:multiLevelType w:val="hybridMultilevel"/>
    <w:tmpl w:val="1A3CEF2E"/>
    <w:lvl w:ilvl="0" w:tplc="AB9AA5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9B3D54"/>
    <w:multiLevelType w:val="hybridMultilevel"/>
    <w:tmpl w:val="562E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4E"/>
    <w:rsid w:val="00076288"/>
    <w:rsid w:val="000B49FF"/>
    <w:rsid w:val="00155180"/>
    <w:rsid w:val="00387109"/>
    <w:rsid w:val="00477B45"/>
    <w:rsid w:val="004A32AD"/>
    <w:rsid w:val="004A7627"/>
    <w:rsid w:val="005D04CA"/>
    <w:rsid w:val="00796F36"/>
    <w:rsid w:val="007A674A"/>
    <w:rsid w:val="007C0557"/>
    <w:rsid w:val="008219AC"/>
    <w:rsid w:val="008530FA"/>
    <w:rsid w:val="008801FC"/>
    <w:rsid w:val="00885E1B"/>
    <w:rsid w:val="008B427F"/>
    <w:rsid w:val="009D724E"/>
    <w:rsid w:val="00A70F97"/>
    <w:rsid w:val="00BC4609"/>
    <w:rsid w:val="00C058A5"/>
    <w:rsid w:val="00DE6C32"/>
    <w:rsid w:val="00E371E5"/>
    <w:rsid w:val="00E92BA8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2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F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96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2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F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96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Bzyk</dc:creator>
  <cp:lastModifiedBy>Bolek</cp:lastModifiedBy>
  <cp:revision>7</cp:revision>
  <cp:lastPrinted>2016-03-20T16:39:00Z</cp:lastPrinted>
  <dcterms:created xsi:type="dcterms:W3CDTF">2016-03-18T21:09:00Z</dcterms:created>
  <dcterms:modified xsi:type="dcterms:W3CDTF">2016-03-20T16:39:00Z</dcterms:modified>
</cp:coreProperties>
</file>